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7B363" w14:textId="77777777" w:rsidR="00C3423D" w:rsidRDefault="00C3423D" w:rsidP="00C3423D">
      <w:pPr>
        <w:spacing w:line="360" w:lineRule="auto"/>
        <w:jc w:val="left"/>
        <w:outlineLvl w:val="0"/>
        <w:rPr>
          <w:rFonts w:ascii="黑体" w:eastAsia="黑体" w:hAnsi="华文细黑"/>
          <w:sz w:val="24"/>
        </w:rPr>
      </w:pPr>
      <w:r>
        <w:rPr>
          <w:rFonts w:ascii="黑体" w:eastAsia="黑体" w:hAnsi="华文细黑" w:hint="eastAsia"/>
          <w:sz w:val="24"/>
        </w:rPr>
        <w:t>附件1</w:t>
      </w:r>
    </w:p>
    <w:p w14:paraId="2A69AE30" w14:textId="77777777" w:rsidR="00C3423D" w:rsidRDefault="00C3423D" w:rsidP="00C3423D">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71"/>
        <w:gridCol w:w="850"/>
        <w:gridCol w:w="851"/>
        <w:gridCol w:w="3383"/>
      </w:tblGrid>
      <w:tr w:rsidR="00C3423D" w14:paraId="1990B64F" w14:textId="77777777" w:rsidTr="00716538">
        <w:trPr>
          <w:trHeight w:val="605"/>
          <w:jc w:val="center"/>
        </w:trPr>
        <w:tc>
          <w:tcPr>
            <w:tcW w:w="1980" w:type="dxa"/>
            <w:vAlign w:val="center"/>
          </w:tcPr>
          <w:p w14:paraId="334C3D62" w14:textId="77777777" w:rsidR="00C3423D" w:rsidRDefault="00C3423D" w:rsidP="00716538">
            <w:pPr>
              <w:rPr>
                <w:sz w:val="24"/>
              </w:rPr>
            </w:pPr>
            <w:r>
              <w:rPr>
                <w:rFonts w:hint="eastAsia"/>
                <w:sz w:val="24"/>
              </w:rPr>
              <w:t>项目名称（中文）</w:t>
            </w:r>
          </w:p>
        </w:tc>
        <w:tc>
          <w:tcPr>
            <w:tcW w:w="7255" w:type="dxa"/>
            <w:gridSpan w:val="4"/>
            <w:vAlign w:val="center"/>
          </w:tcPr>
          <w:p w14:paraId="0EDB9931" w14:textId="77777777" w:rsidR="00C3423D" w:rsidRDefault="00533759" w:rsidP="00716538">
            <w:pPr>
              <w:jc w:val="center"/>
              <w:rPr>
                <w:sz w:val="24"/>
              </w:rPr>
            </w:pPr>
            <w:r w:rsidRPr="00D32CF3">
              <w:rPr>
                <w:rFonts w:ascii="宋体" w:eastAsia="宋体" w:hAnsi="Calibri" w:hint="eastAsia"/>
                <w:sz w:val="24"/>
              </w:rPr>
              <w:t>沿海内河船舶远程驾控系统设计要求</w:t>
            </w:r>
          </w:p>
        </w:tc>
      </w:tr>
      <w:tr w:rsidR="00C3423D" w14:paraId="20FB1026" w14:textId="77777777" w:rsidTr="00716538">
        <w:trPr>
          <w:trHeight w:val="605"/>
          <w:jc w:val="center"/>
        </w:trPr>
        <w:tc>
          <w:tcPr>
            <w:tcW w:w="1980" w:type="dxa"/>
            <w:vAlign w:val="center"/>
          </w:tcPr>
          <w:p w14:paraId="5FAEAF71" w14:textId="77777777" w:rsidR="00C3423D" w:rsidRDefault="00C3423D" w:rsidP="00716538">
            <w:pPr>
              <w:rPr>
                <w:sz w:val="24"/>
              </w:rPr>
            </w:pPr>
            <w:r>
              <w:rPr>
                <w:rFonts w:hint="eastAsia"/>
                <w:sz w:val="24"/>
              </w:rPr>
              <w:t>项目名称（英文）</w:t>
            </w:r>
          </w:p>
        </w:tc>
        <w:tc>
          <w:tcPr>
            <w:tcW w:w="7255" w:type="dxa"/>
            <w:gridSpan w:val="4"/>
            <w:vAlign w:val="center"/>
          </w:tcPr>
          <w:p w14:paraId="4B8D6B79" w14:textId="77777777" w:rsidR="00533759" w:rsidRPr="00D32CF3" w:rsidRDefault="00533759" w:rsidP="00533759">
            <w:pPr>
              <w:jc w:val="center"/>
              <w:rPr>
                <w:rFonts w:ascii="宋体" w:eastAsia="宋体" w:hAnsi="Calibri"/>
                <w:sz w:val="24"/>
              </w:rPr>
            </w:pPr>
            <w:r w:rsidRPr="00D32CF3">
              <w:rPr>
                <w:rFonts w:ascii="宋体" w:eastAsia="宋体" w:hAnsi="Calibri" w:hint="eastAsia"/>
                <w:sz w:val="24"/>
              </w:rPr>
              <w:t>Design requirement for</w:t>
            </w:r>
          </w:p>
          <w:p w14:paraId="0B60F09B" w14:textId="77777777" w:rsidR="00C3423D" w:rsidRDefault="00533759" w:rsidP="00533759">
            <w:pPr>
              <w:jc w:val="center"/>
              <w:rPr>
                <w:sz w:val="24"/>
              </w:rPr>
            </w:pPr>
            <w:r w:rsidRPr="00D32CF3">
              <w:rPr>
                <w:rFonts w:ascii="宋体" w:eastAsia="宋体" w:hAnsi="Calibri" w:hint="eastAsia"/>
                <w:sz w:val="24"/>
              </w:rPr>
              <w:t>I</w:t>
            </w:r>
            <w:r w:rsidRPr="00D32CF3">
              <w:rPr>
                <w:rFonts w:ascii="宋体" w:eastAsia="宋体" w:hAnsi="Calibri"/>
                <w:sz w:val="24"/>
              </w:rPr>
              <w:t>n</w:t>
            </w:r>
            <w:r w:rsidRPr="00D32CF3">
              <w:rPr>
                <w:rFonts w:ascii="宋体" w:eastAsia="宋体" w:hAnsi="Calibri" w:hint="eastAsia"/>
                <w:sz w:val="24"/>
              </w:rPr>
              <w:t>land</w:t>
            </w:r>
            <w:r w:rsidRPr="00D32CF3">
              <w:rPr>
                <w:rFonts w:ascii="宋体" w:eastAsia="宋体" w:hAnsi="Calibri"/>
                <w:sz w:val="24"/>
              </w:rPr>
              <w:t xml:space="preserve"> Ship</w:t>
            </w:r>
            <w:r w:rsidRPr="00D32CF3">
              <w:rPr>
                <w:rFonts w:ascii="宋体" w:eastAsia="宋体" w:hAnsi="Calibri" w:hint="eastAsia"/>
                <w:sz w:val="24"/>
              </w:rPr>
              <w:t xml:space="preserve"> Steering</w:t>
            </w:r>
            <w:r w:rsidRPr="00D32CF3">
              <w:rPr>
                <w:rFonts w:ascii="宋体" w:eastAsia="宋体" w:hAnsi="Calibri"/>
                <w:sz w:val="24"/>
              </w:rPr>
              <w:t xml:space="preserve"> </w:t>
            </w:r>
            <w:r w:rsidRPr="00D32CF3">
              <w:rPr>
                <w:rFonts w:ascii="宋体" w:eastAsia="宋体" w:hAnsi="Calibri" w:hint="eastAsia"/>
                <w:sz w:val="24"/>
              </w:rPr>
              <w:t xml:space="preserve">Remote control </w:t>
            </w:r>
            <w:r w:rsidRPr="00D32CF3">
              <w:rPr>
                <w:rFonts w:ascii="宋体" w:eastAsia="宋体" w:hAnsi="Calibri"/>
                <w:sz w:val="24"/>
              </w:rPr>
              <w:t>system</w:t>
            </w:r>
          </w:p>
        </w:tc>
      </w:tr>
      <w:tr w:rsidR="00C3423D" w14:paraId="1EA0931E" w14:textId="77777777" w:rsidTr="00716538">
        <w:trPr>
          <w:trHeight w:val="540"/>
          <w:jc w:val="center"/>
        </w:trPr>
        <w:tc>
          <w:tcPr>
            <w:tcW w:w="1980" w:type="dxa"/>
            <w:vAlign w:val="center"/>
          </w:tcPr>
          <w:p w14:paraId="5AA7513A" w14:textId="77777777" w:rsidR="00C3423D" w:rsidRDefault="00C3423D" w:rsidP="00716538">
            <w:pPr>
              <w:jc w:val="center"/>
              <w:rPr>
                <w:sz w:val="24"/>
              </w:rPr>
            </w:pPr>
            <w:r>
              <w:rPr>
                <w:rFonts w:hint="eastAsia"/>
                <w:sz w:val="24"/>
              </w:rPr>
              <w:t>制修订</w:t>
            </w:r>
          </w:p>
        </w:tc>
        <w:tc>
          <w:tcPr>
            <w:tcW w:w="2171" w:type="dxa"/>
            <w:vAlign w:val="center"/>
          </w:tcPr>
          <w:p w14:paraId="5FE40C97" w14:textId="77777777" w:rsidR="00C3423D" w:rsidRDefault="00533759" w:rsidP="00716538">
            <w:pPr>
              <w:jc w:val="center"/>
              <w:rPr>
                <w:sz w:val="24"/>
              </w:rPr>
            </w:pPr>
            <w:r>
              <w:rPr>
                <w:rFonts w:hAnsiTheme="minorEastAsia" w:hint="eastAsia"/>
                <w:sz w:val="24"/>
              </w:rPr>
              <w:sym w:font="Wingdings 2" w:char="F052"/>
            </w:r>
            <w:r w:rsidR="00C3423D">
              <w:rPr>
                <w:rFonts w:hAnsiTheme="minorEastAsia" w:hint="eastAsia"/>
                <w:sz w:val="24"/>
              </w:rPr>
              <w:t>制定   □修订</w:t>
            </w:r>
          </w:p>
        </w:tc>
        <w:tc>
          <w:tcPr>
            <w:tcW w:w="1701" w:type="dxa"/>
            <w:gridSpan w:val="2"/>
            <w:vAlign w:val="center"/>
          </w:tcPr>
          <w:p w14:paraId="4AC3D39F" w14:textId="77777777" w:rsidR="00C3423D" w:rsidRDefault="00C3423D" w:rsidP="00716538">
            <w:pPr>
              <w:jc w:val="center"/>
              <w:rPr>
                <w:sz w:val="24"/>
              </w:rPr>
            </w:pPr>
            <w:r>
              <w:rPr>
                <w:rFonts w:hint="eastAsia"/>
                <w:sz w:val="24"/>
              </w:rPr>
              <w:t>被修订标准号</w:t>
            </w:r>
          </w:p>
        </w:tc>
        <w:tc>
          <w:tcPr>
            <w:tcW w:w="3383" w:type="dxa"/>
            <w:vAlign w:val="center"/>
          </w:tcPr>
          <w:p w14:paraId="559A61A3" w14:textId="77777777" w:rsidR="00C3423D" w:rsidRDefault="00C3423D" w:rsidP="00716538">
            <w:pPr>
              <w:rPr>
                <w:sz w:val="24"/>
              </w:rPr>
            </w:pPr>
            <w:r>
              <w:rPr>
                <w:rFonts w:hint="eastAsia"/>
                <w:sz w:val="24"/>
              </w:rPr>
              <w:t xml:space="preserve">   </w:t>
            </w:r>
          </w:p>
        </w:tc>
      </w:tr>
      <w:tr w:rsidR="00C3423D" w14:paraId="7B5C2CA8" w14:textId="77777777" w:rsidTr="00716538">
        <w:trPr>
          <w:trHeight w:val="540"/>
          <w:jc w:val="center"/>
        </w:trPr>
        <w:tc>
          <w:tcPr>
            <w:tcW w:w="1980" w:type="dxa"/>
            <w:vAlign w:val="center"/>
          </w:tcPr>
          <w:p w14:paraId="1138A4C4" w14:textId="77777777" w:rsidR="00C3423D" w:rsidRDefault="00C3423D" w:rsidP="00716538">
            <w:pPr>
              <w:jc w:val="center"/>
              <w:rPr>
                <w:sz w:val="24"/>
              </w:rPr>
            </w:pPr>
            <w:r>
              <w:rPr>
                <w:rFonts w:hint="eastAsia"/>
                <w:sz w:val="24"/>
              </w:rPr>
              <w:t>被修订标准名称</w:t>
            </w:r>
          </w:p>
        </w:tc>
        <w:tc>
          <w:tcPr>
            <w:tcW w:w="2171" w:type="dxa"/>
            <w:vAlign w:val="center"/>
          </w:tcPr>
          <w:p w14:paraId="4515B5E4" w14:textId="77777777" w:rsidR="00C3423D" w:rsidRPr="003F0615" w:rsidRDefault="00533759" w:rsidP="00533759">
            <w:pPr>
              <w:jc w:val="center"/>
              <w:rPr>
                <w:rFonts w:hAnsiTheme="minorEastAsia"/>
                <w:i/>
                <w:iCs/>
                <w:sz w:val="24"/>
                <w:highlight w:val="yellow"/>
              </w:rPr>
            </w:pPr>
            <w:r w:rsidRPr="00533759">
              <w:rPr>
                <w:rFonts w:hAnsiTheme="minorEastAsia" w:hint="eastAsia"/>
                <w:i/>
                <w:iCs/>
                <w:sz w:val="24"/>
              </w:rPr>
              <w:t>/</w:t>
            </w:r>
          </w:p>
        </w:tc>
        <w:tc>
          <w:tcPr>
            <w:tcW w:w="1701" w:type="dxa"/>
            <w:gridSpan w:val="2"/>
            <w:vAlign w:val="center"/>
          </w:tcPr>
          <w:p w14:paraId="6CEFB8A1" w14:textId="77777777" w:rsidR="00C3423D" w:rsidRDefault="00C3423D" w:rsidP="00716538">
            <w:pPr>
              <w:jc w:val="center"/>
              <w:rPr>
                <w:sz w:val="24"/>
              </w:rPr>
            </w:pPr>
            <w:r>
              <w:rPr>
                <w:rFonts w:hint="eastAsia"/>
                <w:sz w:val="24"/>
              </w:rPr>
              <w:t>编制周期</w:t>
            </w:r>
          </w:p>
        </w:tc>
        <w:tc>
          <w:tcPr>
            <w:tcW w:w="3383" w:type="dxa"/>
            <w:vAlign w:val="center"/>
          </w:tcPr>
          <w:p w14:paraId="438AD94C" w14:textId="77777777" w:rsidR="00C3423D" w:rsidRDefault="00533759" w:rsidP="00716538">
            <w:pPr>
              <w:rPr>
                <w:rFonts w:hAnsiTheme="minorEastAsia"/>
                <w:sz w:val="24"/>
              </w:rPr>
            </w:pPr>
            <w:r>
              <w:rPr>
                <w:rFonts w:hAnsiTheme="minorEastAsia" w:hint="eastAsia"/>
                <w:sz w:val="24"/>
              </w:rPr>
              <w:sym w:font="Wingdings 2" w:char="F052"/>
            </w:r>
            <w:r w:rsidR="00C3423D">
              <w:rPr>
                <w:rFonts w:hAnsiTheme="minorEastAsia" w:hint="eastAsia"/>
                <w:sz w:val="24"/>
              </w:rPr>
              <w:t xml:space="preserve">12个月  □18个月   </w:t>
            </w:r>
          </w:p>
          <w:p w14:paraId="40BF0629" w14:textId="77777777" w:rsidR="00C3423D" w:rsidRDefault="00C3423D" w:rsidP="00716538">
            <w:pPr>
              <w:rPr>
                <w:sz w:val="24"/>
              </w:rPr>
            </w:pPr>
            <w:r>
              <w:rPr>
                <w:rFonts w:hAnsiTheme="minorEastAsia" w:hint="eastAsia"/>
                <w:sz w:val="24"/>
              </w:rPr>
              <w:t>□其他</w:t>
            </w:r>
            <w:r>
              <w:rPr>
                <w:rFonts w:hAnsiTheme="minorEastAsia" w:hint="eastAsia"/>
                <w:sz w:val="24"/>
                <w:u w:val="single"/>
              </w:rPr>
              <w:t xml:space="preserve">         </w:t>
            </w:r>
          </w:p>
        </w:tc>
      </w:tr>
      <w:tr w:rsidR="00C3423D" w14:paraId="69BA0AB4" w14:textId="77777777" w:rsidTr="00716538">
        <w:trPr>
          <w:trHeight w:val="548"/>
          <w:jc w:val="center"/>
        </w:trPr>
        <w:tc>
          <w:tcPr>
            <w:tcW w:w="1980" w:type="dxa"/>
            <w:vAlign w:val="center"/>
          </w:tcPr>
          <w:p w14:paraId="1A2A1A1A" w14:textId="77777777" w:rsidR="00C3423D" w:rsidRDefault="00C3423D" w:rsidP="00716538">
            <w:pPr>
              <w:jc w:val="center"/>
              <w:rPr>
                <w:sz w:val="24"/>
              </w:rPr>
            </w:pPr>
            <w:r>
              <w:rPr>
                <w:rFonts w:hint="eastAsia"/>
                <w:sz w:val="24"/>
              </w:rPr>
              <w:t>起草单位</w:t>
            </w:r>
          </w:p>
          <w:p w14:paraId="5C380EAB" w14:textId="77777777" w:rsidR="00C3423D" w:rsidRDefault="00C3423D" w:rsidP="00716538">
            <w:pPr>
              <w:jc w:val="center"/>
              <w:rPr>
                <w:sz w:val="24"/>
              </w:rPr>
            </w:pPr>
            <w:r>
              <w:rPr>
                <w:rFonts w:hint="eastAsia"/>
                <w:sz w:val="24"/>
              </w:rPr>
              <w:t>（不少于3家）</w:t>
            </w:r>
          </w:p>
        </w:tc>
        <w:tc>
          <w:tcPr>
            <w:tcW w:w="7255" w:type="dxa"/>
            <w:gridSpan w:val="4"/>
            <w:vAlign w:val="center"/>
          </w:tcPr>
          <w:p w14:paraId="6D978AF0" w14:textId="77777777" w:rsidR="00C3423D" w:rsidRDefault="00533759" w:rsidP="00533759">
            <w:pPr>
              <w:jc w:val="center"/>
              <w:rPr>
                <w:sz w:val="24"/>
              </w:rPr>
            </w:pPr>
            <w:r w:rsidRPr="00724399">
              <w:rPr>
                <w:rFonts w:ascii="宋体" w:eastAsia="宋体" w:hAnsi="Calibri" w:hint="eastAsia"/>
              </w:rPr>
              <w:t>中国船舶集团有限公司第七〇七研究所</w:t>
            </w:r>
            <w:r>
              <w:rPr>
                <w:rFonts w:ascii="宋体" w:eastAsia="宋体" w:hAnsi="Calibri" w:hint="eastAsia"/>
              </w:rPr>
              <w:t>、中国船舶集团有限公司第</w:t>
            </w:r>
            <w:r w:rsidRPr="00724399">
              <w:rPr>
                <w:rFonts w:ascii="宋体" w:eastAsia="宋体" w:hAnsi="Calibri" w:hint="eastAsia"/>
              </w:rPr>
              <w:t>七〇七研究所</w:t>
            </w:r>
            <w:r>
              <w:rPr>
                <w:rFonts w:ascii="宋体" w:eastAsia="宋体" w:hAnsi="Calibri" w:hint="eastAsia"/>
              </w:rPr>
              <w:t>九江分部、武汉理工大学、三峡电能有限公司、南开大学、海南大学</w:t>
            </w:r>
          </w:p>
        </w:tc>
      </w:tr>
      <w:tr w:rsidR="00C3423D" w14:paraId="2798844B" w14:textId="77777777" w:rsidTr="00716538">
        <w:trPr>
          <w:trHeight w:val="548"/>
          <w:jc w:val="center"/>
        </w:trPr>
        <w:tc>
          <w:tcPr>
            <w:tcW w:w="1980" w:type="dxa"/>
            <w:vAlign w:val="center"/>
          </w:tcPr>
          <w:p w14:paraId="21397C6D" w14:textId="77777777" w:rsidR="00C3423D" w:rsidRDefault="00C3423D" w:rsidP="00716538">
            <w:pPr>
              <w:jc w:val="center"/>
              <w:rPr>
                <w:sz w:val="24"/>
              </w:rPr>
            </w:pPr>
            <w:r>
              <w:rPr>
                <w:rFonts w:hint="eastAsia"/>
                <w:sz w:val="24"/>
              </w:rPr>
              <w:t>联系人</w:t>
            </w:r>
          </w:p>
        </w:tc>
        <w:tc>
          <w:tcPr>
            <w:tcW w:w="2171" w:type="dxa"/>
            <w:vAlign w:val="center"/>
          </w:tcPr>
          <w:p w14:paraId="35671DB1" w14:textId="77777777" w:rsidR="00C3423D" w:rsidRDefault="00533759" w:rsidP="00716538">
            <w:pPr>
              <w:jc w:val="center"/>
              <w:rPr>
                <w:sz w:val="24"/>
              </w:rPr>
            </w:pPr>
            <w:r>
              <w:rPr>
                <w:rFonts w:hint="eastAsia"/>
                <w:sz w:val="24"/>
              </w:rPr>
              <w:t>曹阳</w:t>
            </w:r>
          </w:p>
        </w:tc>
        <w:tc>
          <w:tcPr>
            <w:tcW w:w="850" w:type="dxa"/>
            <w:vAlign w:val="center"/>
          </w:tcPr>
          <w:p w14:paraId="4FEADCB3" w14:textId="77777777" w:rsidR="00C3423D" w:rsidRDefault="00C3423D" w:rsidP="00716538">
            <w:pPr>
              <w:jc w:val="center"/>
              <w:rPr>
                <w:sz w:val="24"/>
              </w:rPr>
            </w:pPr>
            <w:r>
              <w:rPr>
                <w:rFonts w:hint="eastAsia"/>
                <w:sz w:val="24"/>
              </w:rPr>
              <w:t>地址</w:t>
            </w:r>
          </w:p>
        </w:tc>
        <w:tc>
          <w:tcPr>
            <w:tcW w:w="4234" w:type="dxa"/>
            <w:gridSpan w:val="2"/>
            <w:vAlign w:val="center"/>
          </w:tcPr>
          <w:p w14:paraId="0021B139" w14:textId="77777777" w:rsidR="00C3423D" w:rsidRDefault="00533759" w:rsidP="00716538">
            <w:pPr>
              <w:jc w:val="center"/>
              <w:rPr>
                <w:sz w:val="24"/>
              </w:rPr>
            </w:pPr>
            <w:r>
              <w:rPr>
                <w:rFonts w:hint="eastAsia"/>
                <w:sz w:val="24"/>
              </w:rPr>
              <w:t>天津市红桥区丁字</w:t>
            </w:r>
            <w:proofErr w:type="gramStart"/>
            <w:r>
              <w:rPr>
                <w:rFonts w:hint="eastAsia"/>
                <w:sz w:val="24"/>
              </w:rPr>
              <w:t>沽</w:t>
            </w:r>
            <w:proofErr w:type="gramEnd"/>
            <w:r>
              <w:rPr>
                <w:rFonts w:hint="eastAsia"/>
                <w:sz w:val="24"/>
              </w:rPr>
              <w:t>一号路268号</w:t>
            </w:r>
          </w:p>
        </w:tc>
      </w:tr>
      <w:tr w:rsidR="00C3423D" w14:paraId="09396F0F" w14:textId="77777777" w:rsidTr="00716538">
        <w:trPr>
          <w:trHeight w:val="548"/>
          <w:jc w:val="center"/>
        </w:trPr>
        <w:tc>
          <w:tcPr>
            <w:tcW w:w="1980" w:type="dxa"/>
            <w:vAlign w:val="center"/>
          </w:tcPr>
          <w:p w14:paraId="2117E7A6" w14:textId="77777777" w:rsidR="00C3423D" w:rsidRDefault="00C3423D" w:rsidP="00716538">
            <w:pPr>
              <w:jc w:val="center"/>
              <w:rPr>
                <w:sz w:val="24"/>
              </w:rPr>
            </w:pPr>
            <w:r>
              <w:rPr>
                <w:rFonts w:hint="eastAsia"/>
                <w:sz w:val="24"/>
              </w:rPr>
              <w:t>电话</w:t>
            </w:r>
          </w:p>
        </w:tc>
        <w:tc>
          <w:tcPr>
            <w:tcW w:w="2171" w:type="dxa"/>
            <w:vAlign w:val="center"/>
          </w:tcPr>
          <w:p w14:paraId="2D1E8839" w14:textId="77777777" w:rsidR="00C3423D" w:rsidRDefault="00533759" w:rsidP="00716538">
            <w:pPr>
              <w:jc w:val="center"/>
              <w:rPr>
                <w:sz w:val="24"/>
              </w:rPr>
            </w:pPr>
            <w:r>
              <w:rPr>
                <w:rFonts w:hint="eastAsia"/>
                <w:sz w:val="24"/>
              </w:rPr>
              <w:t>13920009862</w:t>
            </w:r>
          </w:p>
        </w:tc>
        <w:tc>
          <w:tcPr>
            <w:tcW w:w="850" w:type="dxa"/>
            <w:vAlign w:val="center"/>
          </w:tcPr>
          <w:p w14:paraId="075CC009" w14:textId="77777777" w:rsidR="00C3423D" w:rsidRDefault="00C3423D" w:rsidP="00716538">
            <w:pPr>
              <w:jc w:val="center"/>
              <w:rPr>
                <w:sz w:val="24"/>
              </w:rPr>
            </w:pPr>
            <w:r>
              <w:rPr>
                <w:rFonts w:hint="eastAsia"/>
                <w:sz w:val="24"/>
              </w:rPr>
              <w:t>邮箱</w:t>
            </w:r>
          </w:p>
        </w:tc>
        <w:tc>
          <w:tcPr>
            <w:tcW w:w="4234" w:type="dxa"/>
            <w:gridSpan w:val="2"/>
            <w:vAlign w:val="center"/>
          </w:tcPr>
          <w:p w14:paraId="0C3FDE22" w14:textId="77777777" w:rsidR="00C3423D" w:rsidRDefault="00533759" w:rsidP="00716538">
            <w:pPr>
              <w:jc w:val="center"/>
              <w:rPr>
                <w:sz w:val="24"/>
              </w:rPr>
            </w:pPr>
            <w:r>
              <w:rPr>
                <w:rFonts w:hint="eastAsia"/>
                <w:sz w:val="24"/>
              </w:rPr>
              <w:t>caoyang_7c@163.com</w:t>
            </w:r>
          </w:p>
        </w:tc>
      </w:tr>
      <w:tr w:rsidR="00C3423D" w14:paraId="52725ABB" w14:textId="77777777" w:rsidTr="00505991">
        <w:trPr>
          <w:trHeight w:val="960"/>
          <w:jc w:val="center"/>
        </w:trPr>
        <w:tc>
          <w:tcPr>
            <w:tcW w:w="1980" w:type="dxa"/>
            <w:vAlign w:val="center"/>
          </w:tcPr>
          <w:p w14:paraId="7B664878" w14:textId="77777777" w:rsidR="00C3423D" w:rsidRDefault="00C3423D" w:rsidP="00716538">
            <w:pPr>
              <w:jc w:val="center"/>
              <w:rPr>
                <w:sz w:val="24"/>
              </w:rPr>
            </w:pPr>
            <w:r>
              <w:rPr>
                <w:rFonts w:hint="eastAsia"/>
                <w:sz w:val="24"/>
              </w:rPr>
              <w:t>技术与市场</w:t>
            </w:r>
          </w:p>
          <w:p w14:paraId="1DF72260" w14:textId="77777777" w:rsidR="00C3423D" w:rsidRDefault="00C3423D" w:rsidP="00716538">
            <w:pPr>
              <w:jc w:val="center"/>
              <w:rPr>
                <w:sz w:val="24"/>
              </w:rPr>
            </w:pPr>
            <w:r>
              <w:rPr>
                <w:rFonts w:hint="eastAsia"/>
                <w:sz w:val="24"/>
              </w:rPr>
              <w:t>发展背景</w:t>
            </w:r>
          </w:p>
        </w:tc>
        <w:tc>
          <w:tcPr>
            <w:tcW w:w="7255" w:type="dxa"/>
            <w:gridSpan w:val="4"/>
            <w:vAlign w:val="center"/>
          </w:tcPr>
          <w:p w14:paraId="2CEE7D3D" w14:textId="77777777" w:rsidR="00C3423D" w:rsidRDefault="00FB7089" w:rsidP="00327342">
            <w:pPr>
              <w:ind w:firstLineChars="200" w:firstLine="480"/>
              <w:rPr>
                <w:iCs/>
                <w:sz w:val="24"/>
              </w:rPr>
            </w:pPr>
            <w:r w:rsidRPr="00FB7089">
              <w:rPr>
                <w:rFonts w:hint="eastAsia"/>
                <w:iCs/>
                <w:sz w:val="24"/>
              </w:rPr>
              <w:t>十四五以来</w:t>
            </w:r>
            <w:r>
              <w:rPr>
                <w:rFonts w:hint="eastAsia"/>
                <w:iCs/>
                <w:sz w:val="24"/>
              </w:rPr>
              <w:t>，我国大力推进沿海内河智能船舶的发展，并发布多项支持政策。</w:t>
            </w:r>
            <w:r w:rsidR="00327342">
              <w:rPr>
                <w:rFonts w:hint="eastAsia"/>
                <w:iCs/>
                <w:sz w:val="24"/>
              </w:rPr>
              <w:t>2022年工业和信息化部等五部门联合发布《关于加快内河船舶绿色智能发展的实施意见》，明确提出以“绿色化、智能化、标准化”为向导，优先发展绿色动力技术、推动智能航线、远程驾驶等技术的研发应用，计划于2025年形成绿色智能标准体系。</w:t>
            </w:r>
          </w:p>
          <w:p w14:paraId="5447681F" w14:textId="77777777" w:rsidR="00327342" w:rsidRPr="00FB7089" w:rsidRDefault="00327342" w:rsidP="00327342">
            <w:pPr>
              <w:ind w:firstLineChars="200" w:firstLine="480"/>
              <w:rPr>
                <w:iCs/>
                <w:sz w:val="24"/>
              </w:rPr>
            </w:pPr>
            <w:r>
              <w:rPr>
                <w:rFonts w:hint="eastAsia"/>
                <w:iCs/>
                <w:sz w:val="24"/>
              </w:rPr>
              <w:t>在智能航行技术发展方面，我国目前已初步构建了覆盖智能航行、智能集成平台、智能机舱、智能能耗等六大功能的船舶装备</w:t>
            </w:r>
            <w:r w:rsidR="000374D1">
              <w:rPr>
                <w:rFonts w:hint="eastAsia"/>
                <w:iCs/>
                <w:sz w:val="24"/>
              </w:rPr>
              <w:t>体并逐步在实际应用中取得突破。</w:t>
            </w:r>
          </w:p>
        </w:tc>
      </w:tr>
      <w:tr w:rsidR="00C3423D" w14:paraId="23B359A4" w14:textId="77777777" w:rsidTr="00505991">
        <w:trPr>
          <w:trHeight w:val="673"/>
          <w:jc w:val="center"/>
        </w:trPr>
        <w:tc>
          <w:tcPr>
            <w:tcW w:w="1980" w:type="dxa"/>
            <w:vAlign w:val="center"/>
          </w:tcPr>
          <w:p w14:paraId="080FA03D" w14:textId="77777777" w:rsidR="00C3423D" w:rsidRDefault="00C3423D" w:rsidP="00716538">
            <w:pPr>
              <w:jc w:val="center"/>
              <w:rPr>
                <w:sz w:val="24"/>
              </w:rPr>
            </w:pPr>
            <w:r>
              <w:rPr>
                <w:rFonts w:hint="eastAsia"/>
                <w:sz w:val="24"/>
              </w:rPr>
              <w:t>标准必要性</w:t>
            </w:r>
            <w:proofErr w:type="gramStart"/>
            <w:r>
              <w:rPr>
                <w:rFonts w:hint="eastAsia"/>
                <w:sz w:val="24"/>
              </w:rPr>
              <w:t>和</w:t>
            </w:r>
            <w:proofErr w:type="gramEnd"/>
          </w:p>
          <w:p w14:paraId="5A82F1A4" w14:textId="77777777" w:rsidR="00C3423D" w:rsidRDefault="00C3423D" w:rsidP="00716538">
            <w:pPr>
              <w:jc w:val="center"/>
              <w:rPr>
                <w:sz w:val="24"/>
              </w:rPr>
            </w:pPr>
            <w:r>
              <w:rPr>
                <w:rFonts w:hint="eastAsia"/>
                <w:sz w:val="24"/>
              </w:rPr>
              <w:t>可行性</w:t>
            </w:r>
          </w:p>
        </w:tc>
        <w:tc>
          <w:tcPr>
            <w:tcW w:w="7255" w:type="dxa"/>
            <w:gridSpan w:val="4"/>
            <w:vAlign w:val="center"/>
          </w:tcPr>
          <w:p w14:paraId="6C7D043B" w14:textId="77777777" w:rsidR="00EB0FCC" w:rsidRDefault="000374D1" w:rsidP="00EB0FCC">
            <w:pPr>
              <w:ind w:firstLineChars="200" w:firstLine="480"/>
              <w:rPr>
                <w:iCs/>
                <w:sz w:val="24"/>
              </w:rPr>
            </w:pPr>
            <w:r w:rsidRPr="000374D1">
              <w:rPr>
                <w:rFonts w:hint="eastAsia"/>
                <w:iCs/>
                <w:sz w:val="24"/>
              </w:rPr>
              <w:t>我国</w:t>
            </w:r>
            <w:r>
              <w:rPr>
                <w:rFonts w:hint="eastAsia"/>
                <w:iCs/>
                <w:sz w:val="24"/>
              </w:rPr>
              <w:t>沿海内河船舶数量众多，沿海内河航运市场规模庞大，但目前存在船舶标准化程度低、智能化水平低的问题。此外，内河航道船舶密度高、航道</w:t>
            </w:r>
            <w:r w:rsidR="00EB0FCC">
              <w:rPr>
                <w:rFonts w:hint="eastAsia"/>
                <w:iCs/>
                <w:sz w:val="24"/>
              </w:rPr>
              <w:t>复杂、通航环境多变，要保障远程遥控船舶的航行安全必须要对远程驾控系统的设计进行规范化和标准化。中国船级社《智能船舶规范》中已对内河船舶智能航行和远程遥控船舶进行了规定，但还缺乏船载远程驾控系统设计相关规范。</w:t>
            </w:r>
          </w:p>
          <w:p w14:paraId="13183B9B" w14:textId="77777777" w:rsidR="000374D1" w:rsidRPr="003F0615" w:rsidRDefault="00EB0FCC" w:rsidP="00221284">
            <w:pPr>
              <w:ind w:firstLineChars="200" w:firstLine="480"/>
              <w:rPr>
                <w:sz w:val="24"/>
                <w:highlight w:val="yellow"/>
              </w:rPr>
            </w:pPr>
            <w:r w:rsidRPr="00EB0FCC">
              <w:rPr>
                <w:iCs/>
                <w:sz w:val="24"/>
              </w:rPr>
              <w:t>为满足</w:t>
            </w:r>
            <w:r w:rsidRPr="00EB0FCC">
              <w:rPr>
                <w:rFonts w:hint="eastAsia"/>
                <w:iCs/>
                <w:sz w:val="24"/>
              </w:rPr>
              <w:t>沿海内河船舶</w:t>
            </w:r>
            <w:r>
              <w:rPr>
                <w:rFonts w:hint="eastAsia"/>
                <w:iCs/>
                <w:sz w:val="24"/>
              </w:rPr>
              <w:t>智能化</w:t>
            </w:r>
            <w:r w:rsidRPr="00EB0FCC">
              <w:rPr>
                <w:iCs/>
                <w:sz w:val="24"/>
              </w:rPr>
              <w:t>发展需求，结合</w:t>
            </w:r>
            <w:r w:rsidRPr="00EB0FCC">
              <w:rPr>
                <w:rFonts w:hint="eastAsia"/>
                <w:iCs/>
                <w:sz w:val="24"/>
              </w:rPr>
              <w:t>目前远程驾控系统研制及其他科研专项的研究成果，</w:t>
            </w:r>
            <w:r w:rsidRPr="00EB0FCC">
              <w:rPr>
                <w:iCs/>
                <w:sz w:val="24"/>
              </w:rPr>
              <w:t>通过开展</w:t>
            </w:r>
            <w:r w:rsidRPr="00EB0FCC">
              <w:rPr>
                <w:rFonts w:hint="eastAsia"/>
                <w:iCs/>
                <w:sz w:val="24"/>
              </w:rPr>
              <w:t>远程驾控系统设计要求</w:t>
            </w:r>
            <w:r w:rsidRPr="00EB0FCC">
              <w:rPr>
                <w:iCs/>
                <w:sz w:val="24"/>
              </w:rPr>
              <w:t>标准研究，明确面向</w:t>
            </w:r>
            <w:r w:rsidRPr="00EB0FCC">
              <w:rPr>
                <w:rFonts w:hint="eastAsia"/>
                <w:iCs/>
                <w:sz w:val="24"/>
              </w:rPr>
              <w:t>沿海内河船舶远程驾控系统的设计依据、设计原则、设计内容、设计程序、设计方法和验证的要求</w:t>
            </w:r>
            <w:r w:rsidRPr="00EB0FCC">
              <w:rPr>
                <w:iCs/>
                <w:sz w:val="24"/>
              </w:rPr>
              <w:t>，</w:t>
            </w:r>
            <w:r w:rsidRPr="00446284">
              <w:rPr>
                <w:rFonts w:hint="eastAsia"/>
                <w:sz w:val="24"/>
              </w:rPr>
              <w:t>为</w:t>
            </w:r>
            <w:r>
              <w:rPr>
                <w:rFonts w:hint="eastAsia"/>
                <w:sz w:val="24"/>
              </w:rPr>
              <w:t>远程驾控系统的设计</w:t>
            </w:r>
            <w:r w:rsidR="00221284">
              <w:rPr>
                <w:rFonts w:hint="eastAsia"/>
                <w:sz w:val="24"/>
              </w:rPr>
              <w:t>、</w:t>
            </w:r>
            <w:r w:rsidRPr="00446284">
              <w:rPr>
                <w:rFonts w:hint="eastAsia"/>
                <w:sz w:val="24"/>
              </w:rPr>
              <w:t>研发、</w:t>
            </w:r>
            <w:r w:rsidR="00221284">
              <w:rPr>
                <w:rFonts w:hint="eastAsia"/>
                <w:sz w:val="24"/>
              </w:rPr>
              <w:t>验证</w:t>
            </w:r>
            <w:r w:rsidRPr="00446284">
              <w:rPr>
                <w:rFonts w:hint="eastAsia"/>
                <w:sz w:val="24"/>
              </w:rPr>
              <w:t>提供技术依据。其实施可降低</w:t>
            </w:r>
            <w:r w:rsidR="00221284">
              <w:rPr>
                <w:rFonts w:hint="eastAsia"/>
                <w:sz w:val="24"/>
              </w:rPr>
              <w:t>系统及设备的</w:t>
            </w:r>
            <w:r>
              <w:rPr>
                <w:rFonts w:hint="eastAsia"/>
                <w:sz w:val="24"/>
              </w:rPr>
              <w:t>设计</w:t>
            </w:r>
            <w:r w:rsidR="00221284">
              <w:rPr>
                <w:rFonts w:hint="eastAsia"/>
                <w:sz w:val="24"/>
              </w:rPr>
              <w:t>风险</w:t>
            </w:r>
            <w:r w:rsidRPr="00446284">
              <w:rPr>
                <w:rFonts w:hint="eastAsia"/>
                <w:sz w:val="24"/>
              </w:rPr>
              <w:t>，提升</w:t>
            </w:r>
            <w:r w:rsidR="00221284">
              <w:rPr>
                <w:rFonts w:hint="eastAsia"/>
                <w:sz w:val="24"/>
              </w:rPr>
              <w:t>系统及</w:t>
            </w:r>
            <w:r w:rsidRPr="00446284">
              <w:rPr>
                <w:rFonts w:hint="eastAsia"/>
                <w:sz w:val="24"/>
              </w:rPr>
              <w:t>设备</w:t>
            </w:r>
            <w:r w:rsidR="00221284">
              <w:rPr>
                <w:rFonts w:hint="eastAsia"/>
                <w:sz w:val="24"/>
              </w:rPr>
              <w:t>的</w:t>
            </w:r>
            <w:r>
              <w:rPr>
                <w:rFonts w:hint="eastAsia"/>
                <w:sz w:val="24"/>
              </w:rPr>
              <w:t>研发效率</w:t>
            </w:r>
            <w:r w:rsidRPr="00446284">
              <w:rPr>
                <w:rFonts w:hint="eastAsia"/>
                <w:sz w:val="24"/>
              </w:rPr>
              <w:t>，</w:t>
            </w:r>
            <w:r>
              <w:rPr>
                <w:rFonts w:hint="eastAsia"/>
                <w:sz w:val="24"/>
              </w:rPr>
              <w:t>提升</w:t>
            </w:r>
            <w:r w:rsidR="00221284">
              <w:rPr>
                <w:rFonts w:hint="eastAsia"/>
                <w:sz w:val="24"/>
              </w:rPr>
              <w:t>系统及</w:t>
            </w:r>
            <w:r>
              <w:rPr>
                <w:rFonts w:hint="eastAsia"/>
                <w:sz w:val="24"/>
              </w:rPr>
              <w:t>设备</w:t>
            </w:r>
            <w:r w:rsidR="00221284">
              <w:rPr>
                <w:rFonts w:hint="eastAsia"/>
                <w:sz w:val="24"/>
              </w:rPr>
              <w:t>的规范性和标准化水平</w:t>
            </w:r>
            <w:r>
              <w:rPr>
                <w:rFonts w:hint="eastAsia"/>
                <w:sz w:val="24"/>
              </w:rPr>
              <w:t>。</w:t>
            </w:r>
          </w:p>
        </w:tc>
      </w:tr>
      <w:tr w:rsidR="00C3423D" w14:paraId="2F54984D" w14:textId="77777777" w:rsidTr="00505991">
        <w:trPr>
          <w:trHeight w:val="702"/>
          <w:jc w:val="center"/>
        </w:trPr>
        <w:tc>
          <w:tcPr>
            <w:tcW w:w="1980" w:type="dxa"/>
            <w:vAlign w:val="center"/>
          </w:tcPr>
          <w:p w14:paraId="3282A220" w14:textId="77777777" w:rsidR="00C3423D" w:rsidRDefault="00C3423D" w:rsidP="00716538">
            <w:pPr>
              <w:jc w:val="center"/>
              <w:rPr>
                <w:rFonts w:ascii="宋体" w:hAnsi="宋体"/>
                <w:sz w:val="24"/>
              </w:rPr>
            </w:pPr>
            <w:r>
              <w:rPr>
                <w:rFonts w:ascii="宋体" w:hAnsi="宋体" w:hint="eastAsia"/>
                <w:sz w:val="24"/>
              </w:rPr>
              <w:t>国内外情况</w:t>
            </w:r>
          </w:p>
          <w:p w14:paraId="58926C48" w14:textId="77777777" w:rsidR="00C3423D" w:rsidRDefault="00C3423D" w:rsidP="00716538">
            <w:pPr>
              <w:jc w:val="center"/>
              <w:rPr>
                <w:sz w:val="24"/>
              </w:rPr>
            </w:pPr>
            <w:r>
              <w:rPr>
                <w:rFonts w:ascii="宋体" w:hAnsi="宋体" w:hint="eastAsia"/>
                <w:sz w:val="24"/>
              </w:rPr>
              <w:t>简要说明</w:t>
            </w:r>
          </w:p>
        </w:tc>
        <w:tc>
          <w:tcPr>
            <w:tcW w:w="7255" w:type="dxa"/>
            <w:gridSpan w:val="4"/>
            <w:vAlign w:val="center"/>
          </w:tcPr>
          <w:p w14:paraId="0450EB04" w14:textId="77777777" w:rsidR="00C3423D" w:rsidRPr="00221284" w:rsidRDefault="00221284" w:rsidP="00221284">
            <w:pPr>
              <w:ind w:firstLineChars="200" w:firstLine="480"/>
              <w:rPr>
                <w:iCs/>
                <w:sz w:val="24"/>
                <w:highlight w:val="yellow"/>
              </w:rPr>
            </w:pPr>
            <w:r w:rsidRPr="00221284">
              <w:rPr>
                <w:rFonts w:hint="eastAsia"/>
                <w:iCs/>
                <w:sz w:val="24"/>
              </w:rPr>
              <w:t>国际海事组织</w:t>
            </w:r>
            <w:r>
              <w:rPr>
                <w:rFonts w:hint="eastAsia"/>
                <w:iCs/>
                <w:sz w:val="24"/>
              </w:rPr>
              <w:t>已发布了智能船舶分级标准，我国船级社在吸收国际规则的基础上，编制了《智能船舶规范》，</w:t>
            </w:r>
            <w:r w:rsidRPr="00643266">
              <w:rPr>
                <w:rFonts w:hint="eastAsia"/>
                <w:sz w:val="24"/>
              </w:rPr>
              <w:t>明确</w:t>
            </w:r>
            <w:r>
              <w:rPr>
                <w:rFonts w:hint="eastAsia"/>
                <w:sz w:val="24"/>
              </w:rPr>
              <w:t>了</w:t>
            </w:r>
            <w:r w:rsidRPr="00643266">
              <w:rPr>
                <w:rFonts w:hint="eastAsia"/>
                <w:sz w:val="24"/>
              </w:rPr>
              <w:t>智能船舶（包括内河船舶）的智能航行、智能机舱、智能能效管理等系统的可靠性要求，规定</w:t>
            </w:r>
            <w:r>
              <w:rPr>
                <w:rFonts w:hint="eastAsia"/>
                <w:sz w:val="24"/>
              </w:rPr>
              <w:t>了远程遥控船舶和远程控制站的相关要求</w:t>
            </w:r>
            <w:r w:rsidRPr="00643266">
              <w:rPr>
                <w:rFonts w:hint="eastAsia"/>
                <w:sz w:val="24"/>
              </w:rPr>
              <w:t>，但针对</w:t>
            </w:r>
            <w:r>
              <w:rPr>
                <w:rFonts w:hint="eastAsia"/>
                <w:sz w:val="24"/>
              </w:rPr>
              <w:t>船载的远程驾控系统</w:t>
            </w:r>
            <w:r w:rsidRPr="00643266">
              <w:rPr>
                <w:rFonts w:hint="eastAsia"/>
                <w:sz w:val="24"/>
              </w:rPr>
              <w:t>的细化要求较少</w:t>
            </w:r>
            <w:r>
              <w:rPr>
                <w:rFonts w:hint="eastAsia"/>
                <w:sz w:val="24"/>
              </w:rPr>
              <w:t>。</w:t>
            </w:r>
          </w:p>
        </w:tc>
      </w:tr>
      <w:tr w:rsidR="00C3423D" w14:paraId="0E1D6EDB" w14:textId="77777777" w:rsidTr="00505991">
        <w:trPr>
          <w:trHeight w:val="1017"/>
          <w:jc w:val="center"/>
        </w:trPr>
        <w:tc>
          <w:tcPr>
            <w:tcW w:w="1980" w:type="dxa"/>
            <w:vAlign w:val="center"/>
          </w:tcPr>
          <w:p w14:paraId="5B637D04" w14:textId="77777777" w:rsidR="00C3423D" w:rsidRDefault="00C3423D" w:rsidP="00716538">
            <w:pPr>
              <w:jc w:val="center"/>
              <w:rPr>
                <w:sz w:val="24"/>
              </w:rPr>
            </w:pPr>
            <w:r>
              <w:rPr>
                <w:rFonts w:hint="eastAsia"/>
                <w:sz w:val="24"/>
              </w:rPr>
              <w:lastRenderedPageBreak/>
              <w:t>标准适用范围</w:t>
            </w:r>
          </w:p>
          <w:p w14:paraId="12BFE164" w14:textId="77777777" w:rsidR="00C3423D" w:rsidRDefault="00C3423D" w:rsidP="00716538">
            <w:pPr>
              <w:jc w:val="center"/>
              <w:rPr>
                <w:sz w:val="24"/>
              </w:rPr>
            </w:pPr>
            <w:r>
              <w:rPr>
                <w:rFonts w:hint="eastAsia"/>
                <w:sz w:val="24"/>
              </w:rPr>
              <w:t>和主要技术内容</w:t>
            </w:r>
          </w:p>
        </w:tc>
        <w:tc>
          <w:tcPr>
            <w:tcW w:w="7255" w:type="dxa"/>
            <w:gridSpan w:val="4"/>
            <w:vAlign w:val="center"/>
          </w:tcPr>
          <w:p w14:paraId="6636721F" w14:textId="77777777" w:rsidR="003D6460" w:rsidRDefault="003D6460" w:rsidP="003D6460">
            <w:pPr>
              <w:ind w:firstLineChars="200" w:firstLine="480"/>
              <w:rPr>
                <w:sz w:val="24"/>
              </w:rPr>
            </w:pPr>
            <w:r w:rsidRPr="003D6460">
              <w:rPr>
                <w:rFonts w:hint="eastAsia"/>
                <w:sz w:val="24"/>
              </w:rPr>
              <w:t>本标准适用于航行在沿海内河水域船舶的远程驾控系统设计，涵盖货船、</w:t>
            </w:r>
            <w:r>
              <w:rPr>
                <w:rFonts w:hint="eastAsia"/>
                <w:sz w:val="24"/>
              </w:rPr>
              <w:t>工程船、拖船、渔船等不同类型船舶。</w:t>
            </w:r>
          </w:p>
          <w:p w14:paraId="51C50353" w14:textId="77777777" w:rsidR="003D6460" w:rsidRPr="003D6460" w:rsidRDefault="003D6460" w:rsidP="003D6460">
            <w:pPr>
              <w:ind w:firstLineChars="200" w:firstLine="480"/>
              <w:rPr>
                <w:sz w:val="24"/>
              </w:rPr>
            </w:pPr>
            <w:r>
              <w:rPr>
                <w:rFonts w:hint="eastAsia"/>
                <w:sz w:val="24"/>
              </w:rPr>
              <w:t>本标准主要规定了</w:t>
            </w:r>
            <w:r w:rsidRPr="00EB0FCC">
              <w:rPr>
                <w:rFonts w:hint="eastAsia"/>
                <w:iCs/>
                <w:sz w:val="24"/>
              </w:rPr>
              <w:t>沿海内河船舶远程驾控系统的设计依据、设计原则、设计内容、设计程序、设计方法和验证的要求</w:t>
            </w:r>
            <w:r>
              <w:rPr>
                <w:rFonts w:hint="eastAsia"/>
                <w:iCs/>
                <w:sz w:val="24"/>
              </w:rPr>
              <w:t>，为远程驾控系统设计提供设计指导。</w:t>
            </w:r>
          </w:p>
        </w:tc>
      </w:tr>
      <w:tr w:rsidR="00C3423D" w14:paraId="3E53A1D8" w14:textId="77777777" w:rsidTr="00505991">
        <w:trPr>
          <w:trHeight w:val="955"/>
          <w:jc w:val="center"/>
        </w:trPr>
        <w:tc>
          <w:tcPr>
            <w:tcW w:w="1980" w:type="dxa"/>
            <w:vAlign w:val="center"/>
          </w:tcPr>
          <w:p w14:paraId="1A328A06" w14:textId="77777777" w:rsidR="00C3423D" w:rsidRDefault="00C3423D" w:rsidP="00716538">
            <w:pPr>
              <w:widowControl/>
              <w:jc w:val="center"/>
              <w:rPr>
                <w:rFonts w:ascii="宋体" w:hAnsi="宋体"/>
                <w:sz w:val="24"/>
              </w:rPr>
            </w:pPr>
            <w:r>
              <w:rPr>
                <w:rFonts w:ascii="宋体" w:hAnsi="宋体" w:hint="eastAsia"/>
                <w:sz w:val="24"/>
              </w:rPr>
              <w:t>工作进度安排</w:t>
            </w:r>
          </w:p>
        </w:tc>
        <w:tc>
          <w:tcPr>
            <w:tcW w:w="7255" w:type="dxa"/>
            <w:gridSpan w:val="4"/>
            <w:vAlign w:val="center"/>
          </w:tcPr>
          <w:p w14:paraId="1FE5C014" w14:textId="77777777" w:rsidR="00221284" w:rsidRPr="009B4CC3" w:rsidRDefault="00221284" w:rsidP="00221284">
            <w:pPr>
              <w:pStyle w:val="a3"/>
              <w:numPr>
                <w:ilvl w:val="0"/>
                <w:numId w:val="1"/>
              </w:numPr>
              <w:ind w:firstLineChars="0"/>
              <w:rPr>
                <w:sz w:val="24"/>
              </w:rPr>
            </w:pPr>
            <w:r w:rsidRPr="009B4CC3">
              <w:rPr>
                <w:rFonts w:hint="eastAsia"/>
                <w:sz w:val="24"/>
              </w:rPr>
              <w:t>草案提交2025-3-30</w:t>
            </w:r>
          </w:p>
          <w:p w14:paraId="4C068613" w14:textId="77777777" w:rsidR="00221284" w:rsidRPr="009B4CC3" w:rsidRDefault="00221284" w:rsidP="00221284">
            <w:pPr>
              <w:pStyle w:val="a3"/>
              <w:numPr>
                <w:ilvl w:val="0"/>
                <w:numId w:val="1"/>
              </w:numPr>
              <w:ind w:firstLineChars="0"/>
              <w:rPr>
                <w:sz w:val="24"/>
              </w:rPr>
            </w:pPr>
            <w:r w:rsidRPr="009B4CC3">
              <w:rPr>
                <w:rFonts w:hint="eastAsia"/>
                <w:sz w:val="24"/>
              </w:rPr>
              <w:t>预期立项2025-</w:t>
            </w:r>
            <w:r>
              <w:rPr>
                <w:rFonts w:hint="eastAsia"/>
                <w:sz w:val="24"/>
              </w:rPr>
              <w:t>4</w:t>
            </w:r>
            <w:r w:rsidRPr="009B4CC3">
              <w:rPr>
                <w:rFonts w:hint="eastAsia"/>
                <w:sz w:val="24"/>
              </w:rPr>
              <w:t>-30</w:t>
            </w:r>
          </w:p>
          <w:p w14:paraId="31525355" w14:textId="77777777" w:rsidR="00505991" w:rsidRPr="00505991" w:rsidRDefault="00221284" w:rsidP="00547EA5">
            <w:pPr>
              <w:pStyle w:val="a3"/>
              <w:numPr>
                <w:ilvl w:val="0"/>
                <w:numId w:val="1"/>
              </w:numPr>
              <w:ind w:firstLineChars="0"/>
              <w:rPr>
                <w:i/>
                <w:iCs/>
                <w:sz w:val="24"/>
              </w:rPr>
            </w:pPr>
            <w:r w:rsidRPr="009B4CC3">
              <w:rPr>
                <w:rFonts w:hint="eastAsia"/>
                <w:sz w:val="24"/>
              </w:rPr>
              <w:t>发布时间2026-3-30</w:t>
            </w:r>
          </w:p>
        </w:tc>
      </w:tr>
      <w:tr w:rsidR="00C3423D" w14:paraId="654E44A6" w14:textId="77777777" w:rsidTr="00505991">
        <w:trPr>
          <w:trHeight w:val="1035"/>
          <w:jc w:val="center"/>
        </w:trPr>
        <w:tc>
          <w:tcPr>
            <w:tcW w:w="1980" w:type="dxa"/>
            <w:vAlign w:val="center"/>
          </w:tcPr>
          <w:p w14:paraId="2974BDA0" w14:textId="77777777" w:rsidR="00C3423D" w:rsidRDefault="00C3423D" w:rsidP="00716538">
            <w:pPr>
              <w:widowControl/>
              <w:jc w:val="center"/>
              <w:rPr>
                <w:rFonts w:ascii="宋体" w:hAnsi="宋体"/>
                <w:sz w:val="24"/>
              </w:rPr>
            </w:pPr>
            <w:r>
              <w:rPr>
                <w:rFonts w:ascii="宋体" w:hAnsi="宋体" w:hint="eastAsia"/>
                <w:sz w:val="24"/>
              </w:rPr>
              <w:t>标准预期实施</w:t>
            </w:r>
          </w:p>
          <w:p w14:paraId="7E9B7B03" w14:textId="77777777" w:rsidR="00C3423D" w:rsidRDefault="00C3423D" w:rsidP="00716538">
            <w:pPr>
              <w:widowControl/>
              <w:jc w:val="center"/>
              <w:rPr>
                <w:rFonts w:ascii="宋体" w:hAnsi="宋体"/>
                <w:sz w:val="24"/>
              </w:rPr>
            </w:pPr>
            <w:r>
              <w:rPr>
                <w:rFonts w:ascii="宋体" w:hAnsi="宋体" w:hint="eastAsia"/>
                <w:sz w:val="24"/>
              </w:rPr>
              <w:t>应用方案</w:t>
            </w:r>
          </w:p>
        </w:tc>
        <w:tc>
          <w:tcPr>
            <w:tcW w:w="7255" w:type="dxa"/>
            <w:gridSpan w:val="4"/>
            <w:vAlign w:val="center"/>
          </w:tcPr>
          <w:p w14:paraId="245436D9" w14:textId="00AFF549" w:rsidR="008F575F" w:rsidRPr="00724F45" w:rsidRDefault="008F575F" w:rsidP="008F575F">
            <w:pPr>
              <w:ind w:firstLineChars="200" w:firstLine="480"/>
              <w:rPr>
                <w:sz w:val="24"/>
              </w:rPr>
            </w:pPr>
            <w:r w:rsidRPr="00724F45">
              <w:rPr>
                <w:rFonts w:hint="eastAsia"/>
                <w:sz w:val="24"/>
              </w:rPr>
              <w:t>主编单位和各起草单位将积极推进标准宣传和培训，配合学会开展标准宣贯培训工作，使有关技术人员熟悉</w:t>
            </w:r>
            <w:bookmarkStart w:id="0" w:name="_GoBack"/>
            <w:bookmarkEnd w:id="0"/>
            <w:r w:rsidRPr="00724F45">
              <w:rPr>
                <w:rFonts w:hint="eastAsia"/>
                <w:sz w:val="24"/>
              </w:rPr>
              <w:t>并掌握标准的各项技术要求，加强示范效应，让标准在行业内得到广泛推广和应用，使标准的应用落到实处。</w:t>
            </w:r>
          </w:p>
          <w:p w14:paraId="2DCB24C4" w14:textId="43B8F9DF" w:rsidR="00C3423D" w:rsidRPr="00505991" w:rsidRDefault="008F575F" w:rsidP="008F575F">
            <w:pPr>
              <w:ind w:firstLineChars="200" w:firstLine="480"/>
              <w:rPr>
                <w:i/>
                <w:iCs/>
                <w:sz w:val="24"/>
              </w:rPr>
            </w:pPr>
            <w:r w:rsidRPr="00724F45">
              <w:rPr>
                <w:rFonts w:hint="eastAsia"/>
                <w:sz w:val="24"/>
              </w:rPr>
              <w:t>主编单位和各起草单位将对标准实施应用情况进行跟踪调查，及时发现标准执行过程中的问题，不断修改完善，提高标准水平，提高标准的科学性、合理性、协调性和可操作性。</w:t>
            </w:r>
          </w:p>
        </w:tc>
      </w:tr>
      <w:tr w:rsidR="00C3423D" w14:paraId="0F933E1C" w14:textId="77777777" w:rsidTr="00505991">
        <w:trPr>
          <w:trHeight w:val="512"/>
          <w:jc w:val="center"/>
        </w:trPr>
        <w:tc>
          <w:tcPr>
            <w:tcW w:w="1980" w:type="dxa"/>
            <w:vAlign w:val="center"/>
          </w:tcPr>
          <w:p w14:paraId="06AC7F28" w14:textId="77777777" w:rsidR="00C3423D" w:rsidRDefault="00C3423D" w:rsidP="00716538">
            <w:pPr>
              <w:widowControl/>
              <w:jc w:val="center"/>
              <w:rPr>
                <w:rFonts w:ascii="宋体" w:hAnsi="宋体"/>
                <w:sz w:val="24"/>
              </w:rPr>
            </w:pPr>
            <w:r>
              <w:rPr>
                <w:rFonts w:ascii="宋体" w:hAnsi="宋体" w:hint="eastAsia"/>
                <w:sz w:val="24"/>
              </w:rPr>
              <w:t>经费保障</w:t>
            </w:r>
          </w:p>
        </w:tc>
        <w:tc>
          <w:tcPr>
            <w:tcW w:w="7255" w:type="dxa"/>
            <w:gridSpan w:val="4"/>
            <w:vAlign w:val="center"/>
          </w:tcPr>
          <w:p w14:paraId="2296D5C2" w14:textId="154EE908" w:rsidR="00C3423D" w:rsidRPr="00505991" w:rsidRDefault="008F575F" w:rsidP="00505991">
            <w:pPr>
              <w:rPr>
                <w:i/>
                <w:iCs/>
                <w:sz w:val="24"/>
              </w:rPr>
            </w:pPr>
            <w:r w:rsidRPr="003166B4">
              <w:rPr>
                <w:rFonts w:hint="eastAsia"/>
                <w:sz w:val="24"/>
              </w:rPr>
              <w:t>编制团队为标准编制提供必要的经费保障</w:t>
            </w:r>
            <w:r>
              <w:rPr>
                <w:rFonts w:hint="eastAsia"/>
                <w:sz w:val="24"/>
              </w:rPr>
              <w:t>。</w:t>
            </w:r>
          </w:p>
        </w:tc>
      </w:tr>
      <w:tr w:rsidR="00C3423D" w14:paraId="44C73CEC" w14:textId="77777777" w:rsidTr="00505991">
        <w:trPr>
          <w:trHeight w:val="1134"/>
          <w:jc w:val="center"/>
        </w:trPr>
        <w:tc>
          <w:tcPr>
            <w:tcW w:w="1980" w:type="dxa"/>
            <w:vAlign w:val="center"/>
          </w:tcPr>
          <w:p w14:paraId="1EC2685A" w14:textId="77777777" w:rsidR="00C3423D" w:rsidRDefault="00C3423D" w:rsidP="00716538">
            <w:pPr>
              <w:widowControl/>
              <w:jc w:val="center"/>
              <w:rPr>
                <w:rFonts w:ascii="宋体" w:hAnsi="宋体"/>
                <w:sz w:val="24"/>
              </w:rPr>
            </w:pPr>
            <w:r>
              <w:rPr>
                <w:rFonts w:ascii="宋体" w:hAnsi="宋体" w:hint="eastAsia"/>
                <w:sz w:val="24"/>
              </w:rPr>
              <w:t>技术基础及</w:t>
            </w:r>
          </w:p>
          <w:p w14:paraId="232A16AB" w14:textId="77777777" w:rsidR="00C3423D" w:rsidRDefault="00C3423D" w:rsidP="00716538">
            <w:pPr>
              <w:widowControl/>
              <w:jc w:val="center"/>
              <w:rPr>
                <w:rFonts w:ascii="宋体" w:hAnsi="宋体"/>
                <w:sz w:val="24"/>
              </w:rPr>
            </w:pPr>
            <w:r>
              <w:rPr>
                <w:rFonts w:ascii="宋体" w:hAnsi="宋体" w:hint="eastAsia"/>
                <w:sz w:val="24"/>
              </w:rPr>
              <w:t>研究团队</w:t>
            </w:r>
          </w:p>
        </w:tc>
        <w:tc>
          <w:tcPr>
            <w:tcW w:w="7255" w:type="dxa"/>
            <w:gridSpan w:val="4"/>
            <w:vAlign w:val="center"/>
          </w:tcPr>
          <w:p w14:paraId="20B46D06" w14:textId="551E88FF" w:rsidR="00C3423D" w:rsidRPr="00505991" w:rsidRDefault="008F575F" w:rsidP="00427E3E">
            <w:pPr>
              <w:ind w:firstLineChars="200" w:firstLine="480"/>
              <w:rPr>
                <w:i/>
                <w:iCs/>
                <w:sz w:val="24"/>
              </w:rPr>
            </w:pPr>
            <w:r>
              <w:rPr>
                <w:rFonts w:hint="eastAsia"/>
                <w:iCs/>
                <w:sz w:val="24"/>
              </w:rPr>
              <w:t>本标准的研究</w:t>
            </w:r>
            <w:proofErr w:type="gramStart"/>
            <w:r>
              <w:rPr>
                <w:rFonts w:hint="eastAsia"/>
                <w:iCs/>
                <w:sz w:val="24"/>
              </w:rPr>
              <w:t>依托于工信</w:t>
            </w:r>
            <w:proofErr w:type="gramEnd"/>
            <w:r>
              <w:rPr>
                <w:rFonts w:hint="eastAsia"/>
                <w:iCs/>
                <w:sz w:val="24"/>
              </w:rPr>
              <w:t>部高技术船舶科研项目“绿色智能船舶标准化引领工程”专项下属子工程四“2030型绿色智能沿海内河示范船”中任务一“沿海内河船舶智能技术研究”课题中的远程驾控系统工程样机可依据该标准实施。并应用于万吨及内河智能船舶开展示范应用。</w:t>
            </w:r>
            <w:r w:rsidR="00427E3E">
              <w:rPr>
                <w:rFonts w:hint="eastAsia"/>
                <w:sz w:val="24"/>
              </w:rPr>
              <w:t>十三五以来，本项目研究团队依托自立项智能航行技术项目和工信部沿海内河船舶智能技术研究项目，针对船舶远程</w:t>
            </w:r>
            <w:proofErr w:type="gramStart"/>
            <w:r w:rsidR="00427E3E">
              <w:rPr>
                <w:rFonts w:hint="eastAsia"/>
                <w:sz w:val="24"/>
              </w:rPr>
              <w:t>驾控及智能</w:t>
            </w:r>
            <w:proofErr w:type="gramEnd"/>
            <w:r w:rsidR="00427E3E">
              <w:rPr>
                <w:rFonts w:hint="eastAsia"/>
                <w:sz w:val="24"/>
              </w:rPr>
              <w:t>航行技术展开了广泛而深入的研究，对融合感知、规划、决策与控制等多种先进技术实现了不同类型船舶远程驾控的实践，完成了远程驾控系统研制，实现了航行态势感知、航线规划、远程航行控制等功能。这些研究基础和实践，为远程驾控系统设计要求标准的编制提供了丰富的技术案例和实践经验，验证了远程驾控技术的可行性和有效性，为标准中各项功能要求和技术指标的确定奠定了坚实的基础。</w:t>
            </w:r>
          </w:p>
        </w:tc>
      </w:tr>
      <w:tr w:rsidR="00C3423D" w14:paraId="27E5E897" w14:textId="77777777" w:rsidTr="00505991">
        <w:trPr>
          <w:trHeight w:val="1124"/>
          <w:jc w:val="center"/>
        </w:trPr>
        <w:tc>
          <w:tcPr>
            <w:tcW w:w="1980" w:type="dxa"/>
            <w:vAlign w:val="center"/>
          </w:tcPr>
          <w:p w14:paraId="2A78F6FD" w14:textId="77777777" w:rsidR="00C3423D" w:rsidRDefault="00C3423D" w:rsidP="00716538">
            <w:pPr>
              <w:jc w:val="center"/>
              <w:rPr>
                <w:rFonts w:ascii="宋体" w:hAnsi="宋体"/>
                <w:sz w:val="24"/>
              </w:rPr>
            </w:pPr>
            <w:r>
              <w:rPr>
                <w:rFonts w:ascii="宋体" w:hAnsi="宋体" w:hint="eastAsia"/>
                <w:sz w:val="24"/>
              </w:rPr>
              <w:t>申请立项单位</w:t>
            </w:r>
          </w:p>
          <w:p w14:paraId="7DA805CC" w14:textId="77777777" w:rsidR="00C3423D" w:rsidRDefault="00C3423D" w:rsidP="00716538">
            <w:pPr>
              <w:jc w:val="center"/>
              <w:rPr>
                <w:rFonts w:ascii="宋体" w:hAnsi="宋体"/>
                <w:sz w:val="24"/>
              </w:rPr>
            </w:pPr>
            <w:r>
              <w:rPr>
                <w:rFonts w:ascii="宋体" w:hAnsi="宋体" w:hint="eastAsia"/>
                <w:sz w:val="24"/>
              </w:rPr>
              <w:t>意见</w:t>
            </w:r>
          </w:p>
        </w:tc>
        <w:tc>
          <w:tcPr>
            <w:tcW w:w="7255" w:type="dxa"/>
            <w:gridSpan w:val="4"/>
            <w:vAlign w:val="bottom"/>
          </w:tcPr>
          <w:p w14:paraId="31F364A9" w14:textId="77777777" w:rsidR="00C3423D" w:rsidRDefault="00C3423D" w:rsidP="00716538">
            <w:pPr>
              <w:wordWrap w:val="0"/>
              <w:jc w:val="right"/>
              <w:rPr>
                <w:sz w:val="24"/>
              </w:rPr>
            </w:pPr>
            <w:r>
              <w:rPr>
                <w:rFonts w:hint="eastAsia"/>
                <w:sz w:val="24"/>
              </w:rPr>
              <w:t xml:space="preserve">（盖章）                                          </w:t>
            </w:r>
          </w:p>
          <w:p w14:paraId="6169837B" w14:textId="77777777" w:rsidR="00C3423D" w:rsidRDefault="00C3423D" w:rsidP="00716538">
            <w:pPr>
              <w:jc w:val="right"/>
              <w:rPr>
                <w:rFonts w:ascii="黑体" w:eastAsia="黑体" w:hAnsi="宋体"/>
                <w:color w:val="000000"/>
                <w:sz w:val="24"/>
              </w:rPr>
            </w:pPr>
            <w:r>
              <w:rPr>
                <w:rFonts w:hint="eastAsia"/>
                <w:sz w:val="24"/>
              </w:rPr>
              <w:t>年   月   日</w:t>
            </w:r>
          </w:p>
        </w:tc>
      </w:tr>
    </w:tbl>
    <w:p w14:paraId="3A18B9B4" w14:textId="77777777" w:rsidR="005E7D40" w:rsidRPr="00C3423D" w:rsidRDefault="00C3423D" w:rsidP="00C3423D">
      <w:pPr>
        <w:jc w:val="left"/>
        <w:rPr>
          <w:rFonts w:ascii="仿宋_GB2312" w:eastAsia="仿宋_GB2312"/>
          <w:sz w:val="24"/>
        </w:rPr>
      </w:pPr>
      <w:r>
        <w:rPr>
          <w:rFonts w:hAnsiTheme="minorEastAsia" w:hint="eastAsia"/>
        </w:rPr>
        <w:t>注：如本表空间不够，可另附页。</w:t>
      </w:r>
    </w:p>
    <w:sectPr w:rsidR="005E7D40" w:rsidRPr="00C342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DDD14" w14:textId="77777777" w:rsidR="00D64505" w:rsidRDefault="00D64505" w:rsidP="00C3423D">
      <w:r>
        <w:separator/>
      </w:r>
    </w:p>
  </w:endnote>
  <w:endnote w:type="continuationSeparator" w:id="0">
    <w:p w14:paraId="545338B8" w14:textId="77777777" w:rsidR="00D64505" w:rsidRDefault="00D64505" w:rsidP="00C3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仿宋_GB2312">
    <w:altName w:val="FangSong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AB0CE" w14:textId="77777777" w:rsidR="00D64505" w:rsidRDefault="00D64505" w:rsidP="00C3423D">
      <w:r>
        <w:separator/>
      </w:r>
    </w:p>
  </w:footnote>
  <w:footnote w:type="continuationSeparator" w:id="0">
    <w:p w14:paraId="5E16908D" w14:textId="77777777" w:rsidR="00D64505" w:rsidRDefault="00D64505" w:rsidP="00C34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131179"/>
    <w:multiLevelType w:val="hybridMultilevel"/>
    <w:tmpl w:val="02E0B332"/>
    <w:lvl w:ilvl="0" w:tplc="0D361304">
      <w:start w:val="1"/>
      <w:numFmt w:val="decimal"/>
      <w:lvlText w:val="(%1)"/>
      <w:lvlJc w:val="left"/>
      <w:pPr>
        <w:ind w:left="440" w:hanging="440"/>
      </w:pPr>
      <w:rPr>
        <w:rFonts w:hint="eastAsia"/>
        <w:i w:val="0"/>
        <w:i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mE3NGM4NmY1MTk1MDk2NTNiMjc3M2IzNDk5N2FhNDYifQ=="/>
  </w:docVars>
  <w:rsids>
    <w:rsidRoot w:val="00EB3B78"/>
    <w:rsid w:val="000374D1"/>
    <w:rsid w:val="001E79D4"/>
    <w:rsid w:val="00221284"/>
    <w:rsid w:val="00272809"/>
    <w:rsid w:val="002E0A10"/>
    <w:rsid w:val="00327342"/>
    <w:rsid w:val="003D6460"/>
    <w:rsid w:val="003F0615"/>
    <w:rsid w:val="00426DD8"/>
    <w:rsid w:val="00427E3E"/>
    <w:rsid w:val="00505991"/>
    <w:rsid w:val="00533759"/>
    <w:rsid w:val="00547EA5"/>
    <w:rsid w:val="005E7D40"/>
    <w:rsid w:val="006771A0"/>
    <w:rsid w:val="006D6FFA"/>
    <w:rsid w:val="00837D5D"/>
    <w:rsid w:val="008F575F"/>
    <w:rsid w:val="00915110"/>
    <w:rsid w:val="00B179E9"/>
    <w:rsid w:val="00B439F8"/>
    <w:rsid w:val="00B55869"/>
    <w:rsid w:val="00BD6381"/>
    <w:rsid w:val="00BF659F"/>
    <w:rsid w:val="00C3423D"/>
    <w:rsid w:val="00D64505"/>
    <w:rsid w:val="00EB0FCC"/>
    <w:rsid w:val="00EB3B78"/>
    <w:rsid w:val="00EC1447"/>
    <w:rsid w:val="00F6779D"/>
    <w:rsid w:val="00FB7089"/>
    <w:rsid w:val="00FC22B1"/>
    <w:rsid w:val="01D65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A2133"/>
  <w15:docId w15:val="{0285DDC6-88A4-40CE-929E-04593DA92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C3423D"/>
    <w:pPr>
      <w:tabs>
        <w:tab w:val="center" w:pos="4153"/>
        <w:tab w:val="right" w:pos="8306"/>
      </w:tabs>
      <w:snapToGrid w:val="0"/>
      <w:jc w:val="center"/>
    </w:pPr>
    <w:rPr>
      <w:sz w:val="18"/>
      <w:szCs w:val="18"/>
    </w:rPr>
  </w:style>
  <w:style w:type="character" w:customStyle="1" w:styleId="a5">
    <w:name w:val="页眉 字符"/>
    <w:basedOn w:val="a0"/>
    <w:link w:val="a4"/>
    <w:uiPriority w:val="99"/>
    <w:rsid w:val="00C3423D"/>
    <w:rPr>
      <w:rFonts w:asciiTheme="minorEastAsia" w:cs="Times New Roman"/>
      <w:snapToGrid w:val="0"/>
      <w:sz w:val="18"/>
      <w:szCs w:val="18"/>
      <w:lang w:val="en-GB"/>
    </w:rPr>
  </w:style>
  <w:style w:type="paragraph" w:styleId="a6">
    <w:name w:val="footer"/>
    <w:basedOn w:val="a"/>
    <w:link w:val="a7"/>
    <w:uiPriority w:val="99"/>
    <w:unhideWhenUsed/>
    <w:rsid w:val="00C3423D"/>
    <w:pPr>
      <w:tabs>
        <w:tab w:val="center" w:pos="4153"/>
        <w:tab w:val="right" w:pos="8306"/>
      </w:tabs>
      <w:snapToGrid w:val="0"/>
      <w:jc w:val="left"/>
    </w:pPr>
    <w:rPr>
      <w:sz w:val="18"/>
      <w:szCs w:val="18"/>
    </w:rPr>
  </w:style>
  <w:style w:type="character" w:customStyle="1" w:styleId="a7">
    <w:name w:val="页脚 字符"/>
    <w:basedOn w:val="a0"/>
    <w:link w:val="a6"/>
    <w:uiPriority w:val="99"/>
    <w:rsid w:val="00C3423D"/>
    <w:rPr>
      <w:rFonts w:asciiTheme="minorEastAsia" w:cs="Times New Roman"/>
      <w:snapToGrid w:val="0"/>
      <w:sz w:val="18"/>
      <w:szCs w:val="18"/>
      <w:lang w:val="en-GB"/>
    </w:rPr>
  </w:style>
  <w:style w:type="paragraph" w:styleId="a8">
    <w:name w:val="Revision"/>
    <w:hidden/>
    <w:uiPriority w:val="99"/>
    <w:unhideWhenUsed/>
    <w:rsid w:val="008F575F"/>
    <w:rPr>
      <w:rFonts w:asciiTheme="minorEastAsia" w:cs="Times New Roman"/>
      <w:snapToGrid w:val="0"/>
      <w:sz w:val="21"/>
      <w:szCs w:val="21"/>
      <w:lang w:val="en-GB"/>
    </w:rPr>
  </w:style>
  <w:style w:type="paragraph" w:styleId="a9">
    <w:name w:val="Balloon Text"/>
    <w:basedOn w:val="a"/>
    <w:link w:val="aa"/>
    <w:uiPriority w:val="99"/>
    <w:semiHidden/>
    <w:unhideWhenUsed/>
    <w:rsid w:val="002E0A10"/>
    <w:rPr>
      <w:sz w:val="18"/>
      <w:szCs w:val="18"/>
    </w:rPr>
  </w:style>
  <w:style w:type="character" w:customStyle="1" w:styleId="aa">
    <w:name w:val="批注框文本 字符"/>
    <w:basedOn w:val="a0"/>
    <w:link w:val="a9"/>
    <w:uiPriority w:val="99"/>
    <w:semiHidden/>
    <w:rsid w:val="002E0A10"/>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288</Words>
  <Characters>1648</Characters>
  <Application>Microsoft Office Word</Application>
  <DocSecurity>0</DocSecurity>
  <Lines>13</Lines>
  <Paragraphs>3</Paragraphs>
  <ScaleCrop>false</ScaleCrop>
  <Company>Microsoft</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储兰芳</cp:lastModifiedBy>
  <cp:revision>2</cp:revision>
  <dcterms:created xsi:type="dcterms:W3CDTF">2025-03-27T13:32:00Z</dcterms:created>
  <dcterms:modified xsi:type="dcterms:W3CDTF">2025-03-27T13:32:00Z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0A99FF815B694A5EA2DF4C6F1DFF22E9</vt:lpwstr>
  </property>
</Properties>
</file>